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14" w:rsidRPr="00C35996" w:rsidRDefault="000E7314" w:rsidP="000E7314">
      <w:pPr>
        <w:pStyle w:val="Retraitcorpsdetexte3"/>
        <w:pBdr>
          <w:top w:val="single" w:sz="4" w:space="0" w:color="auto"/>
        </w:pBdr>
        <w:ind w:left="0"/>
        <w:jc w:val="both"/>
        <w:rPr>
          <w:rFonts w:ascii="Calibri" w:hAnsi="Calibri" w:cs="Calibri"/>
          <w:b/>
          <w:bCs w:val="0"/>
          <w:sz w:val="18"/>
          <w:szCs w:val="16"/>
        </w:rPr>
      </w:pPr>
      <w:r w:rsidRPr="00C35996">
        <w:rPr>
          <w:rFonts w:ascii="Calibri" w:hAnsi="Calibri" w:cs="Calibri"/>
          <w:b/>
          <w:bCs w:val="0"/>
          <w:iCs/>
          <w:sz w:val="18"/>
          <w:szCs w:val="16"/>
        </w:rPr>
        <w:t>ATTENTION</w:t>
      </w:r>
      <w:r w:rsidRPr="00C35996">
        <w:rPr>
          <w:rFonts w:ascii="Calibri" w:hAnsi="Calibri" w:cs="Calibri"/>
          <w:b/>
          <w:bCs w:val="0"/>
          <w:sz w:val="18"/>
          <w:szCs w:val="16"/>
        </w:rPr>
        <w:t xml:space="preserve"> : </w:t>
      </w:r>
    </w:p>
    <w:p w:rsidR="00E108FE" w:rsidRPr="00E108FE" w:rsidRDefault="00E108FE" w:rsidP="00E108FE">
      <w:pPr>
        <w:numPr>
          <w:ilvl w:val="0"/>
          <w:numId w:val="3"/>
        </w:numPr>
        <w:rPr>
          <w:rFonts w:ascii="Calibri" w:hAnsi="Calibri" w:cs="Calibri"/>
          <w:sz w:val="18"/>
          <w:szCs w:val="18"/>
        </w:rPr>
      </w:pPr>
      <w:r w:rsidRPr="00E108FE">
        <w:rPr>
          <w:rFonts w:ascii="Calibri" w:hAnsi="Calibri" w:cs="Calibri"/>
          <w:sz w:val="18"/>
          <w:szCs w:val="18"/>
        </w:rPr>
        <w:t xml:space="preserve">l’adoption de la délibération ne nécessite pas au préalable l’avis du comité technique ; </w:t>
      </w:r>
    </w:p>
    <w:p w:rsidR="00E108FE" w:rsidRPr="00E108FE" w:rsidRDefault="00E108FE" w:rsidP="00E108FE">
      <w:pPr>
        <w:numPr>
          <w:ilvl w:val="0"/>
          <w:numId w:val="3"/>
        </w:numPr>
        <w:rPr>
          <w:rFonts w:ascii="Calibri" w:hAnsi="Calibri" w:cs="Calibri"/>
          <w:sz w:val="18"/>
          <w:szCs w:val="18"/>
        </w:rPr>
      </w:pPr>
      <w:r w:rsidRPr="00E108FE">
        <w:rPr>
          <w:rFonts w:ascii="Calibri" w:hAnsi="Calibri" w:cs="Calibri"/>
          <w:sz w:val="18"/>
          <w:szCs w:val="18"/>
        </w:rPr>
        <w:t xml:space="preserve">-la majoration des heures complémentaires est une simple possibilité. </w:t>
      </w:r>
    </w:p>
    <w:p w:rsidR="000E7314" w:rsidRPr="006449E2" w:rsidRDefault="00E108FE" w:rsidP="00E108FE">
      <w:pPr>
        <w:numPr>
          <w:ilvl w:val="0"/>
          <w:numId w:val="3"/>
        </w:numPr>
        <w:rPr>
          <w:rFonts w:ascii="Calibri" w:hAnsi="Calibri" w:cs="Calibri"/>
          <w:sz w:val="18"/>
          <w:szCs w:val="18"/>
        </w:rPr>
      </w:pPr>
      <w:r w:rsidRPr="00E108FE">
        <w:rPr>
          <w:rFonts w:ascii="Calibri" w:hAnsi="Calibri" w:cs="Calibri"/>
          <w:sz w:val="18"/>
          <w:szCs w:val="18"/>
        </w:rPr>
        <w:t>-la DGCL, dans sa note du 26 mars 2021, précise que les heures complémentaires ne peuvent être que rémunérées, avec, le cas échéant, la majoration, mais elles ne peuvent pas faire l’objet d’un repos compensateur.</w:t>
      </w:r>
    </w:p>
    <w:p w:rsidR="000E7314" w:rsidRDefault="000E7314" w:rsidP="000E7314"/>
    <w:p w:rsidR="000E7314" w:rsidRDefault="000E7314" w:rsidP="000E7314">
      <w:bookmarkStart w:id="0" w:name="_GoBack"/>
      <w:bookmarkEnd w:id="0"/>
    </w:p>
    <w:p w:rsidR="00A527D3" w:rsidRDefault="00A527D3" w:rsidP="00A527D3">
      <w:pPr>
        <w:pStyle w:val="titregrasencadr"/>
      </w:pPr>
    </w:p>
    <w:p w:rsidR="00A527D3" w:rsidRDefault="00A527D3" w:rsidP="000E7314">
      <w:pPr>
        <w:pStyle w:val="titregrasencadr"/>
        <w:rPr>
          <w:b w:val="0"/>
        </w:rPr>
      </w:pPr>
      <w:r>
        <w:t xml:space="preserve">Délibération </w:t>
      </w:r>
      <w:r w:rsidR="000E7314" w:rsidRPr="000E7314">
        <w:t xml:space="preserve">relative </w:t>
      </w:r>
      <w:r w:rsidR="00E108FE">
        <w:t>à la majoration des heures complémentaires</w:t>
      </w:r>
    </w:p>
    <w:p w:rsidR="00A527D3" w:rsidRPr="00521D67" w:rsidRDefault="00A527D3" w:rsidP="00A527D3">
      <w:pPr>
        <w:pStyle w:val="titregrasencadr"/>
        <w:rPr>
          <w:b w:val="0"/>
        </w:rPr>
      </w:pPr>
    </w:p>
    <w:p w:rsidR="00A527D3" w:rsidRDefault="00A527D3"/>
    <w:p w:rsidR="000E7314" w:rsidRPr="000E7314" w:rsidRDefault="000E7314" w:rsidP="000E7314"/>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Le </w:t>
      </w:r>
      <w:r w:rsidRPr="000E7314">
        <w:rPr>
          <w:rFonts w:asciiTheme="minorHAnsi" w:hAnsiTheme="minorHAnsi" w:cstheme="minorHAnsi"/>
          <w:sz w:val="22"/>
          <w:highlight w:val="yellow"/>
        </w:rPr>
        <w:t>……………</w:t>
      </w:r>
      <w:proofErr w:type="gramStart"/>
      <w:r w:rsidRPr="000E7314">
        <w:rPr>
          <w:rFonts w:asciiTheme="minorHAnsi" w:hAnsiTheme="minorHAnsi" w:cstheme="minorHAnsi"/>
          <w:sz w:val="22"/>
          <w:highlight w:val="yellow"/>
        </w:rPr>
        <w:t>…(</w:t>
      </w:r>
      <w:proofErr w:type="gramEnd"/>
      <w:r w:rsidRPr="000E7314">
        <w:rPr>
          <w:rFonts w:asciiTheme="minorHAnsi" w:hAnsiTheme="minorHAnsi" w:cstheme="minorHAnsi"/>
          <w:sz w:val="22"/>
          <w:highlight w:val="yellow"/>
        </w:rPr>
        <w:t>date)</w:t>
      </w:r>
      <w:r w:rsidRPr="000E7314">
        <w:rPr>
          <w:rFonts w:asciiTheme="minorHAnsi" w:hAnsiTheme="minorHAnsi" w:cstheme="minorHAnsi"/>
          <w:sz w:val="22"/>
        </w:rPr>
        <w:t xml:space="preserve">, à </w:t>
      </w:r>
      <w:r w:rsidRPr="000E7314">
        <w:rPr>
          <w:rFonts w:asciiTheme="minorHAnsi" w:hAnsiTheme="minorHAnsi" w:cstheme="minorHAnsi"/>
          <w:sz w:val="22"/>
          <w:highlight w:val="yellow"/>
        </w:rPr>
        <w:t>………………(heure)</w:t>
      </w:r>
      <w:r w:rsidRPr="000E7314">
        <w:rPr>
          <w:rFonts w:asciiTheme="minorHAnsi" w:hAnsiTheme="minorHAnsi" w:cstheme="minorHAnsi"/>
          <w:sz w:val="22"/>
        </w:rPr>
        <w:t xml:space="preserve">, en </w:t>
      </w:r>
      <w:r w:rsidRPr="000E7314">
        <w:rPr>
          <w:rFonts w:asciiTheme="minorHAnsi" w:hAnsiTheme="minorHAnsi" w:cstheme="minorHAnsi"/>
          <w:sz w:val="22"/>
          <w:highlight w:val="yellow"/>
        </w:rPr>
        <w:t>………………………………………(lieu)</w:t>
      </w:r>
      <w:r w:rsidRPr="000E7314">
        <w:rPr>
          <w:rFonts w:asciiTheme="minorHAnsi" w:hAnsiTheme="minorHAnsi" w:cstheme="minorHAnsi"/>
          <w:sz w:val="22"/>
        </w:rPr>
        <w:t xml:space="preserve">, se sont réunis les membres du Conseil Municipal (ou autre assemblée), sous la présidence de </w:t>
      </w:r>
      <w:r w:rsidRPr="000E7314">
        <w:rPr>
          <w:rFonts w:asciiTheme="minorHAnsi" w:hAnsiTheme="minorHAnsi" w:cstheme="minorHAnsi"/>
          <w:sz w:val="22"/>
          <w:highlight w:val="yellow"/>
        </w:rPr>
        <w:t>………………………</w:t>
      </w:r>
      <w:r w:rsidRPr="000E7314">
        <w:rPr>
          <w:rFonts w:asciiTheme="minorHAnsi" w:hAnsiTheme="minorHAnsi" w:cstheme="minorHAnsi"/>
          <w:sz w:val="22"/>
        </w:rPr>
        <w:t>,</w: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Etaient présents : </w:t>
      </w:r>
      <w:r w:rsidRPr="000E7314">
        <w:rPr>
          <w:rFonts w:asciiTheme="minorHAnsi" w:hAnsiTheme="minorHAnsi" w:cstheme="minorHAnsi"/>
          <w:sz w:val="22"/>
          <w:highlight w:val="yellow"/>
        </w:rPr>
        <w:t>…………………………………………………………</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Etaient absent(s) excusé(s) : </w:t>
      </w:r>
      <w:r w:rsidRPr="000E7314">
        <w:rPr>
          <w:rFonts w:asciiTheme="minorHAnsi" w:hAnsiTheme="minorHAnsi" w:cstheme="minorHAnsi"/>
          <w:sz w:val="22"/>
          <w:highlight w:val="yellow"/>
        </w:rPr>
        <w:t>………………………………………………</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Le secrétariat a été assuré par : </w:t>
      </w:r>
      <w:r w:rsidRPr="000E7314">
        <w:rPr>
          <w:rFonts w:asciiTheme="minorHAnsi" w:hAnsiTheme="minorHAnsi" w:cstheme="minorHAnsi"/>
          <w:sz w:val="22"/>
          <w:highlight w:val="yellow"/>
        </w:rPr>
        <w:t>……………………………………………</w:t>
      </w:r>
    </w:p>
    <w:p w:rsidR="000E7314" w:rsidRPr="000E7314" w:rsidRDefault="000E7314" w:rsidP="000E7314">
      <w:pPr>
        <w:rPr>
          <w:rFonts w:asciiTheme="minorHAnsi" w:hAnsiTheme="minorHAnsi" w:cstheme="minorHAnsi"/>
          <w:sz w:val="22"/>
        </w:rPr>
      </w:pP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Le conseil municipal/communautaire/syndical de ….</w:t>
      </w:r>
    </w:p>
    <w:p w:rsidR="000E7314" w:rsidRPr="000E7314" w:rsidRDefault="000E7314" w:rsidP="00A020F5">
      <w:pPr>
        <w:rPr>
          <w:rFonts w:asciiTheme="minorHAnsi" w:hAnsiTheme="minorHAnsi" w:cstheme="minorHAnsi"/>
          <w:sz w:val="22"/>
        </w:rPr>
      </w:pPr>
    </w:p>
    <w:p w:rsidR="000E7314" w:rsidRPr="000E7314" w:rsidRDefault="0089569C" w:rsidP="00A020F5">
      <w:pPr>
        <w:rPr>
          <w:rFonts w:asciiTheme="minorHAnsi" w:hAnsiTheme="minorHAnsi" w:cstheme="minorHAnsi"/>
          <w:sz w:val="22"/>
        </w:rPr>
      </w:pPr>
      <w:r>
        <w:rPr>
          <w:rFonts w:asciiTheme="minorHAnsi" w:hAnsiTheme="minorHAnsi" w:cstheme="minorHAnsi"/>
          <w:sz w:val="22"/>
        </w:rPr>
        <w:t>Vu le c</w:t>
      </w:r>
      <w:r w:rsidR="000E7314" w:rsidRPr="000E7314">
        <w:rPr>
          <w:rFonts w:asciiTheme="minorHAnsi" w:hAnsiTheme="minorHAnsi" w:cstheme="minorHAnsi"/>
          <w:sz w:val="22"/>
        </w:rPr>
        <w:t>ode général des collectivités territoriales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w:t>
      </w:r>
      <w:r w:rsidR="0089569C">
        <w:rPr>
          <w:rFonts w:asciiTheme="minorHAnsi" w:hAnsiTheme="minorHAnsi" w:cstheme="minorHAnsi"/>
          <w:sz w:val="22"/>
        </w:rPr>
        <w:t>le code général de la fonction publique ;</w:t>
      </w:r>
    </w:p>
    <w:p w:rsidR="00E108FE" w:rsidRPr="00E108FE" w:rsidRDefault="00E108FE" w:rsidP="00E108FE">
      <w:pPr>
        <w:rPr>
          <w:rFonts w:asciiTheme="minorHAnsi" w:hAnsiTheme="minorHAnsi" w:cstheme="minorHAnsi"/>
          <w:sz w:val="22"/>
        </w:rPr>
      </w:pPr>
      <w:r w:rsidRPr="00E108FE">
        <w:rPr>
          <w:rFonts w:asciiTheme="minorHAnsi" w:hAnsiTheme="minorHAnsi" w:cstheme="minorHAnsi"/>
          <w:sz w:val="22"/>
        </w:rPr>
        <w:t xml:space="preserve">Vu le décret n° 91-298 du 20 mars 1991 portant dispositions statutaires applicables aux </w:t>
      </w:r>
      <w:proofErr w:type="gramStart"/>
      <w:r w:rsidRPr="00E108FE">
        <w:rPr>
          <w:rFonts w:asciiTheme="minorHAnsi" w:hAnsiTheme="minorHAnsi" w:cstheme="minorHAnsi"/>
          <w:sz w:val="22"/>
        </w:rPr>
        <w:t>fonctionnaires</w:t>
      </w:r>
      <w:proofErr w:type="gramEnd"/>
      <w:r w:rsidRPr="00E108FE">
        <w:rPr>
          <w:rFonts w:asciiTheme="minorHAnsi" w:hAnsiTheme="minorHAnsi" w:cstheme="minorHAnsi"/>
          <w:sz w:val="22"/>
        </w:rPr>
        <w:t xml:space="preserve"> territoriaux nommés dans des emplois permanents à temps non complet ;</w:t>
      </w:r>
    </w:p>
    <w:p w:rsidR="00E108FE" w:rsidRPr="00E108FE" w:rsidRDefault="00E108FE" w:rsidP="00E108FE">
      <w:pPr>
        <w:rPr>
          <w:rFonts w:asciiTheme="minorHAnsi" w:hAnsiTheme="minorHAnsi" w:cstheme="minorHAnsi"/>
          <w:sz w:val="22"/>
        </w:rPr>
      </w:pPr>
      <w:r w:rsidRPr="00E108FE">
        <w:rPr>
          <w:rFonts w:asciiTheme="minorHAnsi" w:hAnsiTheme="minorHAnsi" w:cstheme="minorHAnsi"/>
          <w:sz w:val="22"/>
        </w:rPr>
        <w:t>Vu le décret n° 2001-623 du 12 juillet 2001 modifié relatif à l’aménagement et à la réduction du temps de travail dans la fonction publique territoriale,</w:t>
      </w:r>
    </w:p>
    <w:p w:rsidR="000E7314" w:rsidRDefault="00E108FE" w:rsidP="00E108FE">
      <w:pPr>
        <w:rPr>
          <w:rFonts w:asciiTheme="minorHAnsi" w:hAnsiTheme="minorHAnsi" w:cstheme="minorHAnsi"/>
          <w:sz w:val="22"/>
        </w:rPr>
      </w:pPr>
      <w:r w:rsidRPr="00E108FE">
        <w:rPr>
          <w:rFonts w:asciiTheme="minorHAnsi" w:hAnsiTheme="minorHAnsi" w:cstheme="minorHAnsi"/>
          <w:sz w:val="22"/>
        </w:rPr>
        <w:t>Vu le décret n° 2020-592 du 15 mai 2020 relatif aux modalités de calcul et à la majoration de la rémunération des heures complémentaires des agents de la fonction publique territoriale nommés dans des emplois permanents à temps non complet</w:t>
      </w:r>
      <w:r>
        <w:rPr>
          <w:rFonts w:asciiTheme="minorHAnsi" w:hAnsiTheme="minorHAnsi" w:cstheme="minorHAnsi"/>
          <w:sz w:val="22"/>
        </w:rPr>
        <w:t>,</w:t>
      </w:r>
    </w:p>
    <w:p w:rsidR="00E108FE" w:rsidRDefault="00E108FE" w:rsidP="00E108FE">
      <w:pPr>
        <w:rPr>
          <w:rFonts w:asciiTheme="minorHAnsi" w:hAnsiTheme="minorHAnsi" w:cstheme="minorHAnsi"/>
          <w:sz w:val="22"/>
        </w:rPr>
      </w:pPr>
    </w:p>
    <w:p w:rsidR="00E108FE" w:rsidRPr="000E7314" w:rsidRDefault="00E108FE" w:rsidP="00E108FE">
      <w:pPr>
        <w:rPr>
          <w:rFonts w:asciiTheme="minorHAnsi" w:hAnsiTheme="minorHAnsi" w:cstheme="minorHAnsi"/>
          <w:sz w:val="22"/>
        </w:rPr>
      </w:pPr>
    </w:p>
    <w:p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highlight w:val="yellow"/>
        </w:rPr>
        <w:t>Madame la Maire / Monsieur le Maire / Madame la Présidente / Monsieur le Président</w:t>
      </w:r>
      <w:r w:rsidRPr="000E7314">
        <w:rPr>
          <w:rFonts w:asciiTheme="minorHAnsi" w:hAnsiTheme="minorHAnsi" w:cstheme="minorHAnsi"/>
          <w:b/>
          <w:sz w:val="22"/>
        </w:rPr>
        <w:t xml:space="preserve"> </w:t>
      </w:r>
      <w:r w:rsidRPr="000E7314">
        <w:rPr>
          <w:rFonts w:asciiTheme="minorHAnsi" w:hAnsiTheme="minorHAnsi" w:cstheme="minorHAnsi"/>
          <w:b/>
          <w:sz w:val="22"/>
          <w:highlight w:val="yellow"/>
        </w:rPr>
        <w:t>rappelle à l’assemblée :</w:t>
      </w:r>
    </w:p>
    <w:p w:rsidR="000E7314" w:rsidRDefault="000E7314" w:rsidP="000E7314">
      <w:pPr>
        <w:rPr>
          <w:rFonts w:asciiTheme="minorHAnsi" w:hAnsiTheme="minorHAnsi" w:cstheme="minorHAnsi"/>
          <w:b/>
          <w:sz w:val="22"/>
        </w:rPr>
      </w:pPr>
    </w:p>
    <w:p w:rsidR="00E108FE" w:rsidRDefault="00E108FE" w:rsidP="000E7314">
      <w:pPr>
        <w:rPr>
          <w:rFonts w:asciiTheme="minorHAnsi" w:hAnsiTheme="minorHAnsi" w:cstheme="minorHAnsi"/>
          <w:b/>
          <w:sz w:val="22"/>
        </w:rPr>
      </w:pPr>
    </w:p>
    <w:p w:rsidR="00E108FE" w:rsidRPr="00E108FE" w:rsidRDefault="00E108FE" w:rsidP="00E108FE">
      <w:pPr>
        <w:rPr>
          <w:rFonts w:asciiTheme="minorHAnsi" w:hAnsiTheme="minorHAnsi" w:cstheme="minorHAnsi"/>
          <w:sz w:val="22"/>
        </w:rPr>
      </w:pPr>
      <w:r w:rsidRPr="00E108FE">
        <w:rPr>
          <w:rFonts w:asciiTheme="minorHAnsi" w:hAnsiTheme="minorHAnsi" w:cstheme="minorHAnsi"/>
          <w:sz w:val="22"/>
        </w:rPr>
        <w:t>M…</w:t>
      </w:r>
      <w:r w:rsidRPr="00E108FE">
        <w:rPr>
          <w:rFonts w:asciiTheme="minorHAnsi" w:hAnsiTheme="minorHAnsi" w:cstheme="minorHAnsi"/>
          <w:sz w:val="22"/>
          <w:highlight w:val="yellow"/>
        </w:rPr>
        <w:t>……………</w:t>
      </w:r>
      <w:r w:rsidRPr="00E108FE">
        <w:rPr>
          <w:rFonts w:asciiTheme="minorHAnsi" w:hAnsiTheme="minorHAnsi" w:cstheme="minorHAnsi"/>
          <w:sz w:val="22"/>
        </w:rPr>
        <w:t xml:space="preserve"> (</w:t>
      </w:r>
      <w:proofErr w:type="gramStart"/>
      <w:r w:rsidRPr="00E108FE">
        <w:rPr>
          <w:rFonts w:asciiTheme="minorHAnsi" w:hAnsiTheme="minorHAnsi" w:cstheme="minorHAnsi"/>
          <w:sz w:val="22"/>
        </w:rPr>
        <w:t>autorité</w:t>
      </w:r>
      <w:proofErr w:type="gramEnd"/>
      <w:r w:rsidRPr="00E108FE">
        <w:rPr>
          <w:rFonts w:asciiTheme="minorHAnsi" w:hAnsiTheme="minorHAnsi" w:cstheme="minorHAnsi"/>
          <w:sz w:val="22"/>
        </w:rPr>
        <w:t xml:space="preserve"> territoriale) rappelle que les heures complémentaires correspondent aux heures effectuées par les agents publics à temps non complet, au-delà de la durée hebdomadaire de service afférente à l’emploi à temps non complet et qui ne dépassent la durée hebdomadaire d’un agent à temps complet. Un agent à temps complet ne peut donc réaliser des heures complémentaires. </w:t>
      </w:r>
    </w:p>
    <w:p w:rsidR="00E108FE" w:rsidRPr="00E108FE" w:rsidRDefault="00E108FE" w:rsidP="00E108FE">
      <w:pPr>
        <w:rPr>
          <w:rFonts w:asciiTheme="minorHAnsi" w:hAnsiTheme="minorHAnsi" w:cstheme="minorHAnsi"/>
          <w:sz w:val="22"/>
        </w:rPr>
      </w:pPr>
      <w:r w:rsidRPr="00E108FE">
        <w:rPr>
          <w:rFonts w:asciiTheme="minorHAnsi" w:hAnsiTheme="minorHAnsi" w:cstheme="minorHAnsi"/>
          <w:sz w:val="22"/>
        </w:rPr>
        <w:t xml:space="preserve">Les heures complémentaires sont réalisées à la demande expresse du supérieur hiérarchique et/ou autorité territoriale. </w:t>
      </w:r>
    </w:p>
    <w:p w:rsidR="00E108FE" w:rsidRPr="00E108FE" w:rsidRDefault="00E108FE" w:rsidP="00E108FE">
      <w:pPr>
        <w:rPr>
          <w:rFonts w:asciiTheme="minorHAnsi" w:hAnsiTheme="minorHAnsi" w:cstheme="minorHAnsi"/>
          <w:sz w:val="22"/>
        </w:rPr>
      </w:pPr>
      <w:r w:rsidRPr="00E108FE">
        <w:rPr>
          <w:rFonts w:asciiTheme="minorHAnsi" w:hAnsiTheme="minorHAnsi" w:cstheme="minorHAnsi"/>
          <w:sz w:val="22"/>
        </w:rPr>
        <w:t xml:space="preserve">Les heures complémentaires peuvent être réalisées par des agents de catégorie A, B ou C, qu’ils soient fonctionnaires ou agents contractuels de droit public. </w:t>
      </w:r>
    </w:p>
    <w:p w:rsidR="00E108FE" w:rsidRPr="00E108FE" w:rsidRDefault="00E108FE" w:rsidP="00E108FE">
      <w:pPr>
        <w:rPr>
          <w:rFonts w:asciiTheme="minorHAnsi" w:hAnsiTheme="minorHAnsi" w:cstheme="minorHAnsi"/>
          <w:sz w:val="22"/>
        </w:rPr>
      </w:pPr>
      <w:r w:rsidRPr="00E108FE">
        <w:rPr>
          <w:rFonts w:asciiTheme="minorHAnsi" w:hAnsiTheme="minorHAnsi" w:cstheme="minorHAnsi"/>
          <w:sz w:val="22"/>
        </w:rPr>
        <w:t>M</w:t>
      </w:r>
      <w:r w:rsidRPr="00E108FE">
        <w:rPr>
          <w:rFonts w:asciiTheme="minorHAnsi" w:hAnsiTheme="minorHAnsi" w:cstheme="minorHAnsi"/>
          <w:sz w:val="22"/>
          <w:highlight w:val="yellow"/>
        </w:rPr>
        <w:t>………………</w:t>
      </w:r>
      <w:r w:rsidRPr="00E108FE">
        <w:rPr>
          <w:rFonts w:asciiTheme="minorHAnsi" w:hAnsiTheme="minorHAnsi" w:cstheme="minorHAnsi"/>
          <w:sz w:val="22"/>
        </w:rPr>
        <w:t xml:space="preserve"> (</w:t>
      </w:r>
      <w:proofErr w:type="gramStart"/>
      <w:r w:rsidRPr="00E108FE">
        <w:rPr>
          <w:rFonts w:asciiTheme="minorHAnsi" w:hAnsiTheme="minorHAnsi" w:cstheme="minorHAnsi"/>
          <w:sz w:val="22"/>
        </w:rPr>
        <w:t>autorité</w:t>
      </w:r>
      <w:proofErr w:type="gramEnd"/>
      <w:r w:rsidRPr="00E108FE">
        <w:rPr>
          <w:rFonts w:asciiTheme="minorHAnsi" w:hAnsiTheme="minorHAnsi" w:cstheme="minorHAnsi"/>
          <w:sz w:val="22"/>
        </w:rPr>
        <w:t xml:space="preserve"> territoriale) rappelle également que les heures complémentaires ne peuvent être qu’indemnisées : en effet, la DGCL, dans sa note du 26 mars 2021, précise que les heures complémentaires ne peuvent être que rémunérées, avec, le cas échéant, la majoration, mais elles ne peuvent pas faire l’objet d’un repos compensateur.</w:t>
      </w:r>
    </w:p>
    <w:p w:rsidR="00E108FE" w:rsidRPr="00E108FE" w:rsidRDefault="00E108FE" w:rsidP="00E108FE">
      <w:pPr>
        <w:rPr>
          <w:rFonts w:asciiTheme="minorHAnsi" w:hAnsiTheme="minorHAnsi" w:cstheme="minorHAnsi"/>
          <w:sz w:val="22"/>
        </w:rPr>
      </w:pPr>
      <w:r w:rsidRPr="00E108FE">
        <w:rPr>
          <w:rFonts w:asciiTheme="minorHAnsi" w:hAnsiTheme="minorHAnsi" w:cstheme="minorHAnsi"/>
          <w:sz w:val="22"/>
        </w:rPr>
        <w:lastRenderedPageBreak/>
        <w:t>Néanmoins, en application du décret n° 2020-592 du 15 mai 2020, la majoration des heures complémentaires peut être mise en place en faveur des fonctionnaires et agents contractuels de droit public nommés sur des emplois permanents à temps non complet.</w:t>
      </w:r>
    </w:p>
    <w:p w:rsidR="00E108FE" w:rsidRPr="00E108FE" w:rsidRDefault="00E108FE" w:rsidP="00E108FE">
      <w:pPr>
        <w:rPr>
          <w:rFonts w:asciiTheme="minorHAnsi" w:hAnsiTheme="minorHAnsi" w:cstheme="minorHAnsi"/>
          <w:sz w:val="22"/>
        </w:rPr>
      </w:pPr>
      <w:r w:rsidRPr="00E108FE">
        <w:rPr>
          <w:rFonts w:asciiTheme="minorHAnsi" w:hAnsiTheme="minorHAnsi" w:cstheme="minorHAnsi"/>
          <w:sz w:val="22"/>
        </w:rPr>
        <w:t>M</w:t>
      </w:r>
      <w:r w:rsidRPr="00E108FE">
        <w:rPr>
          <w:rFonts w:asciiTheme="minorHAnsi" w:hAnsiTheme="minorHAnsi" w:cstheme="minorHAnsi"/>
          <w:sz w:val="22"/>
          <w:highlight w:val="yellow"/>
        </w:rPr>
        <w:t>………………</w:t>
      </w:r>
      <w:r w:rsidRPr="00E108FE">
        <w:rPr>
          <w:rFonts w:asciiTheme="minorHAnsi" w:hAnsiTheme="minorHAnsi" w:cstheme="minorHAnsi"/>
          <w:sz w:val="22"/>
        </w:rPr>
        <w:t xml:space="preserve"> (</w:t>
      </w:r>
      <w:proofErr w:type="gramStart"/>
      <w:r w:rsidRPr="00E108FE">
        <w:rPr>
          <w:rFonts w:asciiTheme="minorHAnsi" w:hAnsiTheme="minorHAnsi" w:cstheme="minorHAnsi"/>
          <w:sz w:val="22"/>
        </w:rPr>
        <w:t>autorité</w:t>
      </w:r>
      <w:proofErr w:type="gramEnd"/>
      <w:r w:rsidRPr="00E108FE">
        <w:rPr>
          <w:rFonts w:asciiTheme="minorHAnsi" w:hAnsiTheme="minorHAnsi" w:cstheme="minorHAnsi"/>
          <w:sz w:val="22"/>
        </w:rPr>
        <w:t xml:space="preserve"> territoriale) propose au Conseil d’instaurer cette possibilité de majoration des heures complémentaires.</w:t>
      </w:r>
    </w:p>
    <w:p w:rsidR="000E7314" w:rsidRPr="000E7314" w:rsidRDefault="000E7314" w:rsidP="000E7314">
      <w:pPr>
        <w:rPr>
          <w:rFonts w:asciiTheme="minorHAnsi" w:hAnsiTheme="minorHAnsi" w:cstheme="minorHAnsi"/>
          <w:b/>
          <w:sz w:val="22"/>
        </w:rPr>
      </w:pPr>
    </w:p>
    <w:p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Le Conseil Municipal </w:t>
      </w:r>
      <w:r w:rsidRPr="000E7314">
        <w:rPr>
          <w:rFonts w:asciiTheme="minorHAnsi" w:hAnsiTheme="minorHAnsi" w:cstheme="minorHAnsi"/>
          <w:b/>
          <w:sz w:val="22"/>
          <w:highlight w:val="yellow"/>
        </w:rPr>
        <w:t>(ou autre assemblée : conseil syndical, …….)</w:t>
      </w:r>
      <w:r w:rsidRPr="000E7314">
        <w:rPr>
          <w:rFonts w:asciiTheme="minorHAnsi" w:hAnsiTheme="minorHAnsi" w:cstheme="minorHAnsi"/>
          <w:b/>
          <w:sz w:val="22"/>
        </w:rPr>
        <w:t xml:space="preserve">, sur le rapport de </w:t>
      </w:r>
      <w:r w:rsidRPr="000E7314">
        <w:rPr>
          <w:rFonts w:asciiTheme="minorHAnsi" w:hAnsiTheme="minorHAnsi" w:cstheme="minorHAnsi"/>
          <w:b/>
          <w:sz w:val="22"/>
          <w:highlight w:val="yellow"/>
        </w:rPr>
        <w:t>Madame la Maire / Monsieur le Maire / Madame la Présidente / Monsieur le Président</w:t>
      </w:r>
      <w:r w:rsidRPr="000E7314">
        <w:rPr>
          <w:rFonts w:asciiTheme="minorHAnsi" w:hAnsiTheme="minorHAnsi" w:cstheme="minorHAnsi"/>
          <w:b/>
          <w:sz w:val="22"/>
        </w:rPr>
        <w:t xml:space="preserve"> et après en avoir délibéré, </w:t>
      </w:r>
    </w:p>
    <w:p w:rsidR="000E7314" w:rsidRDefault="000E7314" w:rsidP="000E7314">
      <w:pPr>
        <w:rPr>
          <w:rFonts w:asciiTheme="minorHAnsi" w:hAnsiTheme="minorHAnsi" w:cstheme="minorHAnsi"/>
          <w:sz w:val="22"/>
        </w:rPr>
      </w:pPr>
    </w:p>
    <w:p w:rsidR="00A020F5" w:rsidRPr="000E7314" w:rsidRDefault="00A020F5"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b/>
          <w:sz w:val="24"/>
        </w:rPr>
        <w:t>Décide</w:t>
      </w:r>
      <w:r w:rsidRPr="000E7314">
        <w:rPr>
          <w:rFonts w:asciiTheme="minorHAnsi" w:hAnsiTheme="minorHAnsi" w:cstheme="minorHAnsi"/>
          <w:sz w:val="24"/>
        </w:rPr>
        <w:t> </w:t>
      </w:r>
      <w:r w:rsidRPr="000E7314">
        <w:rPr>
          <w:rFonts w:asciiTheme="minorHAnsi" w:hAnsiTheme="minorHAnsi" w:cstheme="minorHAnsi"/>
          <w:sz w:val="22"/>
        </w:rPr>
        <w:t>:</w:t>
      </w:r>
    </w:p>
    <w:p w:rsidR="000E7314" w:rsidRDefault="000E7314" w:rsidP="000E7314">
      <w:pPr>
        <w:rPr>
          <w:rFonts w:asciiTheme="minorHAnsi" w:hAnsiTheme="minorHAnsi" w:cstheme="minorHAnsi"/>
          <w:sz w:val="22"/>
        </w:rPr>
      </w:pPr>
    </w:p>
    <w:p w:rsidR="00A020F5" w:rsidRPr="000E7314" w:rsidRDefault="00A020F5" w:rsidP="000E7314">
      <w:pPr>
        <w:rPr>
          <w:rFonts w:asciiTheme="minorHAnsi" w:hAnsiTheme="minorHAnsi" w:cstheme="minorHAnsi"/>
          <w:sz w:val="22"/>
        </w:rPr>
      </w:pPr>
    </w:p>
    <w:p w:rsidR="000E7314" w:rsidRPr="000E7314" w:rsidRDefault="00A020F5" w:rsidP="000E7314">
      <w:pPr>
        <w:spacing w:line="240" w:lineRule="atLeast"/>
        <w:rPr>
          <w:rFonts w:asciiTheme="minorHAnsi" w:hAnsiTheme="minorHAnsi" w:cstheme="minorHAnsi"/>
          <w:b/>
          <w:sz w:val="22"/>
          <w:szCs w:val="22"/>
        </w:rPr>
      </w:pPr>
      <w:r>
        <w:rPr>
          <w:rFonts w:asciiTheme="minorHAnsi" w:hAnsiTheme="minorHAnsi" w:cstheme="minorHAnsi"/>
          <w:b/>
          <w:sz w:val="22"/>
          <w:szCs w:val="22"/>
        </w:rPr>
        <w:t>Article 1 </w:t>
      </w:r>
    </w:p>
    <w:p w:rsidR="00E108FE" w:rsidRPr="00E108FE" w:rsidRDefault="00E108FE" w:rsidP="00E108FE">
      <w:pPr>
        <w:rPr>
          <w:rFonts w:asciiTheme="minorHAnsi" w:hAnsiTheme="minorHAnsi" w:cstheme="minorHAnsi"/>
          <w:sz w:val="22"/>
        </w:rPr>
      </w:pPr>
      <w:r w:rsidRPr="00E108FE">
        <w:rPr>
          <w:rFonts w:asciiTheme="minorHAnsi" w:hAnsiTheme="minorHAnsi" w:cstheme="minorHAnsi"/>
          <w:sz w:val="22"/>
        </w:rPr>
        <w:t>D’instaurer, pour les fonctionnaires et agents contractuels de droit public recrutés sur des emplois permanents à temps non complet, la majoration de l’indemnisation des heures complémentaires de :</w:t>
      </w:r>
    </w:p>
    <w:p w:rsidR="00E108FE" w:rsidRDefault="00E108FE" w:rsidP="00E108FE">
      <w:pPr>
        <w:pStyle w:val="Paragraphedeliste"/>
        <w:numPr>
          <w:ilvl w:val="0"/>
          <w:numId w:val="11"/>
        </w:numPr>
        <w:rPr>
          <w:rFonts w:asciiTheme="minorHAnsi" w:hAnsiTheme="minorHAnsi" w:cstheme="minorHAnsi"/>
          <w:sz w:val="22"/>
        </w:rPr>
      </w:pPr>
      <w:r w:rsidRPr="00E108FE">
        <w:rPr>
          <w:rFonts w:asciiTheme="minorHAnsi" w:hAnsiTheme="minorHAnsi" w:cstheme="minorHAnsi"/>
          <w:sz w:val="22"/>
        </w:rPr>
        <w:t>10 % pour chacune des heures complémentaires accomplies dans la limite du dixième des heures hebdomadaires de service afférentes à l’emploi à temps non complet ;</w:t>
      </w:r>
    </w:p>
    <w:p w:rsidR="00E108FE" w:rsidRPr="00E108FE" w:rsidRDefault="00E108FE" w:rsidP="00E108FE">
      <w:pPr>
        <w:pStyle w:val="Paragraphedeliste"/>
        <w:numPr>
          <w:ilvl w:val="0"/>
          <w:numId w:val="11"/>
        </w:numPr>
        <w:rPr>
          <w:rFonts w:asciiTheme="minorHAnsi" w:hAnsiTheme="minorHAnsi" w:cstheme="minorHAnsi"/>
          <w:sz w:val="22"/>
        </w:rPr>
      </w:pPr>
      <w:r w:rsidRPr="00E108FE">
        <w:rPr>
          <w:rFonts w:asciiTheme="minorHAnsi" w:hAnsiTheme="minorHAnsi" w:cstheme="minorHAnsi"/>
          <w:sz w:val="22"/>
        </w:rPr>
        <w:t xml:space="preserve">et de 25 % pour les heures suivantes, jusqu’à hauteur d’un temps complet. </w:t>
      </w:r>
    </w:p>
    <w:p w:rsidR="00E108FE" w:rsidRPr="00E108FE" w:rsidRDefault="00E108FE" w:rsidP="00E108FE">
      <w:pPr>
        <w:rPr>
          <w:rFonts w:asciiTheme="minorHAnsi" w:hAnsiTheme="minorHAnsi" w:cstheme="minorHAnsi"/>
          <w:sz w:val="22"/>
        </w:rPr>
      </w:pPr>
    </w:p>
    <w:p w:rsidR="000E7314" w:rsidRPr="000E7314" w:rsidRDefault="00E108FE" w:rsidP="00E108FE">
      <w:pPr>
        <w:rPr>
          <w:rFonts w:asciiTheme="minorHAnsi" w:hAnsiTheme="minorHAnsi" w:cstheme="minorHAnsi"/>
          <w:sz w:val="22"/>
        </w:rPr>
      </w:pPr>
      <w:r w:rsidRPr="00E108FE">
        <w:rPr>
          <w:rFonts w:asciiTheme="minorHAnsi" w:hAnsiTheme="minorHAnsi" w:cstheme="minorHAnsi"/>
          <w:sz w:val="22"/>
        </w:rPr>
        <w:t>(Ajoutez éventuellement, si la collectivité ou l’établissement a mis en place les heures supplémentaires)</w:t>
      </w:r>
    </w:p>
    <w:p w:rsidR="000E7314" w:rsidRDefault="000E7314" w:rsidP="000E7314">
      <w:pPr>
        <w:spacing w:line="240" w:lineRule="atLeast"/>
        <w:rPr>
          <w:rFonts w:ascii="Calibri" w:hAnsi="Calibri" w:cs="Calibri"/>
          <w:sz w:val="22"/>
          <w:szCs w:val="22"/>
        </w:rPr>
      </w:pPr>
    </w:p>
    <w:p w:rsidR="00A020F5" w:rsidRPr="000E7314" w:rsidRDefault="00A020F5" w:rsidP="000E7314">
      <w:pPr>
        <w:spacing w:line="240" w:lineRule="atLeast"/>
        <w:rPr>
          <w:rFonts w:ascii="Calibri" w:hAnsi="Calibri" w:cs="Calibri"/>
          <w:sz w:val="22"/>
          <w:szCs w:val="22"/>
        </w:rPr>
      </w:pPr>
    </w:p>
    <w:p w:rsidR="000E7314" w:rsidRPr="000E7314" w:rsidRDefault="00A020F5" w:rsidP="000E7314">
      <w:pPr>
        <w:spacing w:line="240" w:lineRule="atLeast"/>
        <w:rPr>
          <w:rFonts w:asciiTheme="minorHAnsi" w:hAnsiTheme="minorHAnsi" w:cstheme="minorHAnsi"/>
          <w:b/>
          <w:sz w:val="22"/>
          <w:szCs w:val="22"/>
        </w:rPr>
      </w:pPr>
      <w:r>
        <w:rPr>
          <w:rFonts w:asciiTheme="minorHAnsi" w:hAnsiTheme="minorHAnsi" w:cstheme="minorHAnsi"/>
          <w:b/>
          <w:sz w:val="22"/>
          <w:szCs w:val="22"/>
        </w:rPr>
        <w:t>Article 2 </w:t>
      </w:r>
    </w:p>
    <w:p w:rsidR="000E7314" w:rsidRDefault="00E108FE" w:rsidP="00A020F5">
      <w:pPr>
        <w:rPr>
          <w:rFonts w:asciiTheme="minorHAnsi" w:hAnsiTheme="minorHAnsi" w:cstheme="minorHAnsi"/>
          <w:sz w:val="22"/>
        </w:rPr>
      </w:pPr>
      <w:r w:rsidRPr="00E108FE">
        <w:rPr>
          <w:rFonts w:asciiTheme="minorHAnsi" w:hAnsiTheme="minorHAnsi" w:cstheme="minorHAnsi"/>
          <w:sz w:val="22"/>
        </w:rPr>
        <w:t>Lorsque le travail effectué par un agent à temps non complet dépasse la durée du travail effectif afférente à un emploi à temps complet, le montant de l’indemnisation sera calculé conformément au décret n° 2002-60 du 14 janvier 2002 modifié relatif aux indemnités horaires pour travaux supplémentaires, et selon les modalités prévues par délibération en date du…</w:t>
      </w:r>
      <w:r w:rsidRPr="00E108FE">
        <w:rPr>
          <w:rFonts w:asciiTheme="minorHAnsi" w:hAnsiTheme="minorHAnsi" w:cstheme="minorHAnsi"/>
          <w:sz w:val="22"/>
          <w:highlight w:val="yellow"/>
        </w:rPr>
        <w:t>………</w:t>
      </w:r>
    </w:p>
    <w:p w:rsidR="00E108FE" w:rsidRPr="00E108FE" w:rsidRDefault="00E108FE" w:rsidP="00A020F5">
      <w:pPr>
        <w:rPr>
          <w:rFonts w:asciiTheme="minorHAnsi" w:hAnsiTheme="minorHAnsi" w:cstheme="minorHAnsi"/>
          <w:sz w:val="22"/>
        </w:rPr>
      </w:pPr>
    </w:p>
    <w:p w:rsidR="00A020F5" w:rsidRPr="000E7314" w:rsidRDefault="00A020F5" w:rsidP="00A020F5">
      <w:pPr>
        <w:rPr>
          <w:rFonts w:asciiTheme="minorHAnsi" w:hAnsiTheme="minorHAnsi" w:cstheme="minorHAnsi"/>
          <w:sz w:val="22"/>
        </w:rPr>
      </w:pPr>
    </w:p>
    <w:p w:rsidR="000E7314" w:rsidRPr="000E7314" w:rsidRDefault="000E7314" w:rsidP="000E7314">
      <w:pPr>
        <w:spacing w:line="240" w:lineRule="atLeast"/>
        <w:rPr>
          <w:rFonts w:asciiTheme="minorHAnsi" w:hAnsiTheme="minorHAnsi" w:cstheme="minorHAnsi"/>
          <w:sz w:val="22"/>
          <w:szCs w:val="22"/>
        </w:rPr>
      </w:pPr>
      <w:r w:rsidRPr="000E7314">
        <w:rPr>
          <w:rFonts w:asciiTheme="minorHAnsi" w:hAnsiTheme="minorHAnsi" w:cstheme="minorHAnsi"/>
          <w:b/>
          <w:sz w:val="22"/>
          <w:szCs w:val="22"/>
        </w:rPr>
        <w:t>Article 3 </w:t>
      </w:r>
    </w:p>
    <w:p w:rsidR="000E7314" w:rsidRDefault="00E108FE" w:rsidP="00A020F5">
      <w:pPr>
        <w:rPr>
          <w:rFonts w:asciiTheme="minorHAnsi" w:hAnsiTheme="minorHAnsi" w:cstheme="minorHAnsi"/>
          <w:sz w:val="22"/>
        </w:rPr>
      </w:pPr>
      <w:r w:rsidRPr="00E108FE">
        <w:rPr>
          <w:rFonts w:asciiTheme="minorHAnsi" w:hAnsiTheme="minorHAnsi" w:cstheme="minorHAnsi"/>
          <w:sz w:val="22"/>
        </w:rPr>
        <w:t>Les crédits correspondants sont inscrits au budget.</w:t>
      </w:r>
    </w:p>
    <w:p w:rsidR="00A020F5" w:rsidRDefault="00A020F5" w:rsidP="00A020F5">
      <w:pPr>
        <w:rPr>
          <w:rFonts w:asciiTheme="minorHAnsi" w:hAnsiTheme="minorHAnsi" w:cstheme="minorHAnsi"/>
          <w:sz w:val="22"/>
        </w:rPr>
      </w:pPr>
    </w:p>
    <w:p w:rsidR="00E108FE" w:rsidRPr="000E7314" w:rsidRDefault="00E108FE" w:rsidP="00A020F5">
      <w:pPr>
        <w:rPr>
          <w:rFonts w:asciiTheme="minorHAnsi" w:hAnsiTheme="minorHAnsi" w:cstheme="minorHAnsi"/>
          <w:sz w:val="22"/>
        </w:rPr>
      </w:pPr>
    </w:p>
    <w:p w:rsidR="000E7314" w:rsidRPr="000E7314" w:rsidRDefault="000E7314" w:rsidP="000E7314">
      <w:pPr>
        <w:overflowPunct w:val="0"/>
        <w:autoSpaceDE w:val="0"/>
        <w:autoSpaceDN w:val="0"/>
        <w:adjustRightInd w:val="0"/>
        <w:textAlignment w:val="baseline"/>
        <w:rPr>
          <w:rFonts w:ascii="Calibri" w:eastAsia="Times New Roman" w:hAnsi="Calibri" w:cs="Calibri"/>
          <w:b/>
          <w:sz w:val="22"/>
          <w:szCs w:val="22"/>
          <w:lang w:eastAsia="fr-FR"/>
        </w:rPr>
      </w:pPr>
      <w:r w:rsidRPr="000E7314">
        <w:rPr>
          <w:rFonts w:ascii="Calibri" w:eastAsia="Times New Roman" w:hAnsi="Calibri" w:cs="Calibri"/>
          <w:b/>
          <w:sz w:val="22"/>
          <w:szCs w:val="22"/>
          <w:lang w:eastAsia="fr-FR"/>
        </w:rPr>
        <w:t>Ainsi fait et délibéré les jours, mois et an ci-dessous.</w:t>
      </w:r>
    </w:p>
    <w:p w:rsidR="00873673" w:rsidRDefault="00873673" w:rsidP="00417D9A">
      <w:pPr>
        <w:rPr>
          <w:rFonts w:asciiTheme="minorHAnsi" w:hAnsiTheme="minorHAnsi" w:cstheme="minorHAnsi"/>
          <w:b/>
          <w:sz w:val="22"/>
        </w:rPr>
      </w:pPr>
    </w:p>
    <w:p w:rsidR="00873673" w:rsidRDefault="00873673" w:rsidP="00873673">
      <w:pPr>
        <w:ind w:left="5529"/>
        <w:rPr>
          <w:rFonts w:ascii="Calibri" w:hAnsi="Calibri" w:cs="Calibri"/>
          <w:sz w:val="22"/>
          <w:szCs w:val="22"/>
        </w:rPr>
      </w:pPr>
    </w:p>
    <w:p w:rsidR="00873673" w:rsidRPr="00C86791" w:rsidRDefault="00873673" w:rsidP="00873673">
      <w:pPr>
        <w:ind w:left="5529"/>
        <w:rPr>
          <w:rFonts w:ascii="Calibri" w:hAnsi="Calibri" w:cs="Calibri"/>
          <w:sz w:val="22"/>
          <w:szCs w:val="22"/>
        </w:rPr>
      </w:pP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rsidR="00873673" w:rsidRPr="00C86791" w:rsidRDefault="00873673" w:rsidP="00873673">
      <w:pPr>
        <w:ind w:left="5529"/>
        <w:rPr>
          <w:rFonts w:ascii="Calibri" w:hAnsi="Calibri" w:cs="Calibri"/>
          <w:sz w:val="22"/>
          <w:szCs w:val="22"/>
        </w:rPr>
      </w:pPr>
    </w:p>
    <w:p w:rsidR="00873673" w:rsidRPr="00C86791" w:rsidRDefault="00E36CAE" w:rsidP="00873673">
      <w:pPr>
        <w:ind w:left="5529"/>
        <w:rPr>
          <w:rFonts w:ascii="Calibri" w:hAnsi="Calibri" w:cs="Calibri"/>
          <w:sz w:val="22"/>
          <w:szCs w:val="22"/>
        </w:rPr>
      </w:pPr>
      <w:r w:rsidRPr="00E36CAE">
        <w:rPr>
          <w:rFonts w:ascii="Calibri" w:hAnsi="Calibri" w:cs="Calibri"/>
          <w:sz w:val="22"/>
          <w:szCs w:val="22"/>
          <w:highlight w:val="yellow"/>
        </w:rPr>
        <w:t>Madame la Maire / Monsieur le Maire / Madame la Présidente / Monsieur le Président</w:t>
      </w:r>
      <w:r w:rsidR="00873673" w:rsidRPr="00E36CAE">
        <w:rPr>
          <w:rFonts w:ascii="Calibri" w:hAnsi="Calibri" w:cs="Calibri"/>
          <w:sz w:val="22"/>
          <w:szCs w:val="22"/>
          <w:highlight w:val="yellow"/>
        </w:rPr>
        <w:t>,</w:t>
      </w:r>
    </w:p>
    <w:p w:rsidR="00873673" w:rsidRDefault="00873673" w:rsidP="00873673">
      <w:pPr>
        <w:ind w:left="5529"/>
        <w:rPr>
          <w:rFonts w:ascii="Calibri" w:hAnsi="Calibri" w:cs="Calibri"/>
          <w:sz w:val="22"/>
          <w:szCs w:val="22"/>
        </w:rPr>
      </w:pPr>
      <w:r w:rsidRPr="00D95A6C">
        <w:rPr>
          <w:rFonts w:ascii="Calibri" w:hAnsi="Calibri" w:cs="Calibri"/>
          <w:sz w:val="22"/>
          <w:szCs w:val="22"/>
          <w:highlight w:val="yellow"/>
        </w:rPr>
        <w:t>(</w:t>
      </w:r>
      <w:proofErr w:type="gramStart"/>
      <w:r w:rsidRPr="00D95A6C">
        <w:rPr>
          <w:rFonts w:ascii="Calibri" w:hAnsi="Calibri" w:cs="Calibri"/>
          <w:sz w:val="22"/>
          <w:szCs w:val="22"/>
          <w:highlight w:val="yellow"/>
        </w:rPr>
        <w:t>nom</w:t>
      </w:r>
      <w:proofErr w:type="gramEnd"/>
      <w:r w:rsidRPr="00D95A6C">
        <w:rPr>
          <w:rFonts w:ascii="Calibri" w:hAnsi="Calibri" w:cs="Calibri"/>
          <w:sz w:val="22"/>
          <w:szCs w:val="22"/>
          <w:highlight w:val="yellow"/>
        </w:rPr>
        <w:t>, prénom et qualité lisible)</w:t>
      </w:r>
    </w:p>
    <w:p w:rsidR="00A96629" w:rsidRDefault="00A96629" w:rsidP="00873673">
      <w:pPr>
        <w:ind w:left="5529"/>
        <w:rPr>
          <w:rFonts w:ascii="Calibri" w:hAnsi="Calibri" w:cs="Calibri"/>
          <w:sz w:val="22"/>
          <w:szCs w:val="22"/>
        </w:rPr>
      </w:pPr>
    </w:p>
    <w:p w:rsidR="00A96629" w:rsidRPr="00C86791" w:rsidRDefault="00A96629" w:rsidP="00873673">
      <w:pPr>
        <w:ind w:left="5529"/>
        <w:rPr>
          <w:rFonts w:ascii="Calibri" w:hAnsi="Calibri" w:cs="Calibri"/>
          <w:sz w:val="22"/>
          <w:szCs w:val="22"/>
        </w:rPr>
      </w:pPr>
    </w:p>
    <w:p w:rsidR="00EF6F94" w:rsidRPr="00EF6F94" w:rsidRDefault="00E36CAE" w:rsidP="00EF6F94">
      <w:pPr>
        <w:pBdr>
          <w:top w:val="single" w:sz="4" w:space="1" w:color="auto"/>
        </w:pBdr>
        <w:rPr>
          <w:rFonts w:asciiTheme="minorHAnsi" w:hAnsiTheme="minorHAnsi" w:cstheme="minorHAnsi"/>
        </w:rPr>
      </w:pPr>
      <w:r w:rsidRPr="00E36CAE">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EF6F94" w:rsidRPr="00EF6F94">
        <w:rPr>
          <w:rFonts w:asciiTheme="minorHAnsi" w:hAnsiTheme="minorHAnsi" w:cstheme="minorHAnsi"/>
        </w:rPr>
        <w:t>certifie sous sa responsabilité le caract</w:t>
      </w:r>
      <w:r w:rsidR="007512C6">
        <w:rPr>
          <w:rFonts w:asciiTheme="minorHAnsi" w:hAnsiTheme="minorHAnsi" w:cstheme="minorHAnsi"/>
        </w:rPr>
        <w:t xml:space="preserve">ère exécutoire de cet acte et </w:t>
      </w:r>
      <w:r w:rsidR="00EF6F94" w:rsidRPr="00EF6F94">
        <w:rPr>
          <w:rFonts w:asciiTheme="minorHAnsi" w:hAnsiTheme="minorHAnsi" w:cstheme="minorHAnsi"/>
        </w:rPr>
        <w:t xml:space="preserve">informe que la présente délibération peut faire l’objet d’un recours pour excès de pouvoir devant le Tribunal Administratif de Toulouse dans un délai de 2 mois, à compter </w:t>
      </w:r>
      <w:r w:rsidR="00EF6F94" w:rsidRPr="00EF6F94">
        <w:rPr>
          <w:rFonts w:asciiTheme="minorHAnsi" w:hAnsiTheme="minorHAnsi" w:cstheme="minorHAnsi"/>
        </w:rPr>
        <w:lastRenderedPageBreak/>
        <w:t xml:space="preserve">de la présente publication, par courrier postal (68 rue Raymond IV, BP 7007, 31068 Toulouse Cedex 7 ; Téléphone : 05 62 73 57 57 ; Fax : 05 62 73 57 40) ou par le biais de l’application informatique </w:t>
      </w:r>
      <w:proofErr w:type="spellStart"/>
      <w:r w:rsidR="00EF6F94" w:rsidRPr="00EF6F94">
        <w:rPr>
          <w:rFonts w:asciiTheme="minorHAnsi" w:hAnsiTheme="minorHAnsi" w:cstheme="minorHAnsi"/>
        </w:rPr>
        <w:t>Télérecours</w:t>
      </w:r>
      <w:proofErr w:type="spellEnd"/>
      <w:r w:rsidR="00EF6F94" w:rsidRPr="00EF6F94">
        <w:rPr>
          <w:rFonts w:asciiTheme="minorHAnsi" w:hAnsiTheme="minorHAnsi" w:cstheme="minorHAnsi"/>
        </w:rPr>
        <w:t>, accessible par le lien suiv</w:t>
      </w:r>
      <w:r w:rsidR="00A750FA">
        <w:rPr>
          <w:rFonts w:asciiTheme="minorHAnsi" w:hAnsiTheme="minorHAnsi" w:cstheme="minorHAnsi"/>
        </w:rPr>
        <w:t xml:space="preserve">ant : </w:t>
      </w:r>
      <w:hyperlink r:id="rId9" w:history="1">
        <w:r w:rsidR="00A750FA" w:rsidRPr="00F5488A">
          <w:rPr>
            <w:rStyle w:val="Lienhypertexte"/>
            <w:rFonts w:asciiTheme="minorHAnsi" w:hAnsiTheme="minorHAnsi" w:cstheme="minorHAnsi"/>
          </w:rPr>
          <w:t>http://www.telerecours.fr</w:t>
        </w:r>
      </w:hyperlink>
      <w:r w:rsidR="00A750FA">
        <w:rPr>
          <w:rFonts w:asciiTheme="minorHAnsi" w:hAnsiTheme="minorHAnsi" w:cstheme="minorHAnsi"/>
        </w:rPr>
        <w:t xml:space="preserve">. </w:t>
      </w:r>
    </w:p>
    <w:sectPr w:rsidR="00EF6F94" w:rsidRPr="00EF6F94" w:rsidSect="00521D67">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67" w:rsidRDefault="00521D67" w:rsidP="00521D67">
      <w:r>
        <w:separator/>
      </w:r>
    </w:p>
  </w:endnote>
  <w:endnote w:type="continuationSeparator" w:id="0">
    <w:p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3632771" wp14:editId="1DED02E1">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" strokecolor="#7f7f7f [1612]" strokeweight="2.5pt"/>
          </w:pict>
        </mc:Fallback>
      </mc:AlternateContent>
    </w:r>
  </w:p>
  <w:p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89569C">
      <w:rPr>
        <w:rFonts w:ascii="Calibri" w:hAnsi="Calibri" w:cs="Calibri"/>
        <w:noProof/>
      </w:rPr>
      <w:t>3</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89569C">
      <w:rPr>
        <w:rFonts w:ascii="Calibri" w:hAnsi="Calibri" w:cs="Calibri"/>
        <w:noProof/>
      </w:rPr>
      <w:t>3</w:t>
    </w:r>
    <w:r w:rsidRPr="00C86791">
      <w:rPr>
        <w:rFonts w:ascii="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663767">
      <w:rPr>
        <w:noProof/>
      </w:rPr>
      <w:t>1</w:t>
    </w:r>
    <w:r w:rsidRPr="00715C9B">
      <w:fldChar w:fldCharType="end"/>
    </w:r>
    <w:r w:rsidRPr="00715C9B">
      <w:t xml:space="preserve"> sur </w:t>
    </w:r>
    <w:fldSimple w:instr="NUMPAGES  \* Arabic  \* MERGEFORMAT">
      <w:r w:rsidR="00663767">
        <w:rPr>
          <w:noProof/>
        </w:rPr>
        <w:t>3</w:t>
      </w:r>
    </w:fldSimple>
    <w:r>
      <w:rPr>
        <w:noProof/>
      </w:rPr>
      <w:t xml:space="preserve"> - </w:t>
    </w:r>
    <w:r w:rsidRPr="007C0DFE">
      <w:rPr>
        <w:noProof/>
      </w:rPr>
      <w:t>MAJ mars 2022 – A jour du Code général de la fonction publique</w:t>
    </w:r>
  </w:p>
  <w:p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420788D2" wp14:editId="3618B9C1">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" strokecolor="#3f2270" strokeweight="2.5pt"/>
          </w:pict>
        </mc:Fallback>
      </mc:AlternateContent>
    </w:r>
  </w:p>
  <w:p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67" w:rsidRDefault="00521D67" w:rsidP="00521D67">
      <w:r>
        <w:separator/>
      </w:r>
    </w:p>
  </w:footnote>
  <w:footnote w:type="continuationSeparator" w:id="0">
    <w:p w:rsidR="00521D67" w:rsidRDefault="00521D67" w:rsidP="00521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E246F33"/>
    <w:multiLevelType w:val="hybridMultilevel"/>
    <w:tmpl w:val="8F1EDF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453454"/>
    <w:multiLevelType w:val="hybridMultilevel"/>
    <w:tmpl w:val="6BCE20C2"/>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1EE6AD1"/>
    <w:multiLevelType w:val="hybridMultilevel"/>
    <w:tmpl w:val="3D7C34C4"/>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DA7D98"/>
    <w:multiLevelType w:val="hybridMultilevel"/>
    <w:tmpl w:val="FE34C1C0"/>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AD7555"/>
    <w:multiLevelType w:val="hybridMultilevel"/>
    <w:tmpl w:val="3D1007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6E533B47"/>
    <w:multiLevelType w:val="hybridMultilevel"/>
    <w:tmpl w:val="98A2146C"/>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0D4274"/>
    <w:multiLevelType w:val="hybridMultilevel"/>
    <w:tmpl w:val="52F4D0D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016F7A"/>
    <w:multiLevelType w:val="hybridMultilevel"/>
    <w:tmpl w:val="6D34BE86"/>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10"/>
  </w:num>
  <w:num w:numId="6">
    <w:abstractNumId w:val="6"/>
  </w:num>
  <w:num w:numId="7">
    <w:abstractNumId w:val="7"/>
  </w:num>
  <w:num w:numId="8">
    <w:abstractNumId w:val="1"/>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67"/>
    <w:rsid w:val="000E7314"/>
    <w:rsid w:val="00192BA6"/>
    <w:rsid w:val="002202B6"/>
    <w:rsid w:val="002C4864"/>
    <w:rsid w:val="003B50AC"/>
    <w:rsid w:val="003F18FB"/>
    <w:rsid w:val="00417D9A"/>
    <w:rsid w:val="004D33EF"/>
    <w:rsid w:val="00521D67"/>
    <w:rsid w:val="00663767"/>
    <w:rsid w:val="00663D85"/>
    <w:rsid w:val="006F30A7"/>
    <w:rsid w:val="007512C6"/>
    <w:rsid w:val="00873673"/>
    <w:rsid w:val="00877CB4"/>
    <w:rsid w:val="0089569C"/>
    <w:rsid w:val="009D7B23"/>
    <w:rsid w:val="00A020F5"/>
    <w:rsid w:val="00A365CE"/>
    <w:rsid w:val="00A527D3"/>
    <w:rsid w:val="00A750FA"/>
    <w:rsid w:val="00A96244"/>
    <w:rsid w:val="00A96629"/>
    <w:rsid w:val="00B06FD4"/>
    <w:rsid w:val="00B12A2A"/>
    <w:rsid w:val="00BD781D"/>
    <w:rsid w:val="00C06E7C"/>
    <w:rsid w:val="00CB0811"/>
    <w:rsid w:val="00D90DF2"/>
    <w:rsid w:val="00E108FE"/>
    <w:rsid w:val="00E31717"/>
    <w:rsid w:val="00E36CAE"/>
    <w:rsid w:val="00EF6F94"/>
    <w:rsid w:val="00F34F68"/>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Corpsdetexte">
    <w:name w:val="Body Text"/>
    <w:basedOn w:val="Normal"/>
    <w:link w:val="CorpsdetexteCar"/>
    <w:uiPriority w:val="99"/>
    <w:semiHidden/>
    <w:unhideWhenUsed/>
    <w:rsid w:val="000E7314"/>
    <w:pPr>
      <w:spacing w:after="120"/>
    </w:pPr>
  </w:style>
  <w:style w:type="character" w:customStyle="1" w:styleId="CorpsdetexteCar">
    <w:name w:val="Corps de texte Car"/>
    <w:basedOn w:val="Policepardfaut"/>
    <w:link w:val="Corpsdetexte"/>
    <w:uiPriority w:val="99"/>
    <w:semiHidden/>
    <w:rsid w:val="000E7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Corpsdetexte">
    <w:name w:val="Body Text"/>
    <w:basedOn w:val="Normal"/>
    <w:link w:val="CorpsdetexteCar"/>
    <w:uiPriority w:val="99"/>
    <w:semiHidden/>
    <w:unhideWhenUsed/>
    <w:rsid w:val="000E7314"/>
    <w:pPr>
      <w:spacing w:after="120"/>
    </w:pPr>
  </w:style>
  <w:style w:type="character" w:customStyle="1" w:styleId="CorpsdetexteCar">
    <w:name w:val="Corps de texte Car"/>
    <w:basedOn w:val="Policepardfaut"/>
    <w:link w:val="Corpsdetexte"/>
    <w:uiPriority w:val="99"/>
    <w:semiHidden/>
    <w:rsid w:val="000E7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elerecours.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15D23-A143-412F-ACC0-D1906CEC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SARTOR Virginie</cp:lastModifiedBy>
  <cp:revision>5</cp:revision>
  <dcterms:created xsi:type="dcterms:W3CDTF">2022-02-10T15:27:00Z</dcterms:created>
  <dcterms:modified xsi:type="dcterms:W3CDTF">2022-02-11T12:19:00Z</dcterms:modified>
</cp:coreProperties>
</file>